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  <w:jc w:val="left"/>
      </w:pPr>
      <w:r>
        <w:rPr>
          <w:b/>
          <w:bCs/>
          <w:color w:val="1FA9DE"/>
          <w:sz w:val="22"/>
          <w:szCs w:val="22"/>
        </w:rPr>
        <w:t xml:space="preserve">INTERPROTECCIÓN</w:t>
      </w:r>
    </w:p>
    <w:p>
      <w:pPr>
        <w:spacing w:after="200" w:before="1200"/>
      </w:pPr>
      <w:r>
        <w:rPr>
          <w:color w:val="1FA9DE"/>
          <w:spacing w:val="60"/>
          <w:sz w:val="20"/>
          <w:szCs w:val="20"/>
        </w:rPr>
        <w:t xml:space="preserve">DIVISIÓN PROTECCIÓN EMPRESARIAL</w:t>
      </w:r>
    </w:p>
    <w:p>
      <w:pPr>
        <w:pStyle w:val="Title"/>
        <w:spacing w:after="200" w:before="200"/>
      </w:pPr>
      <w:r>
        <w:rPr>
          <w:b/>
          <w:bCs/>
          <w:color w:val="0F2A4A"/>
          <w:sz w:val="56"/>
          <w:szCs w:val="56"/>
        </w:rPr>
        <w:t xml:space="preserve">Slip de Riesgo Empresarial</w:t>
      </w:r>
    </w:p>
    <w:p>
      <w:pPr>
        <w:spacing w:after="80" w:before="600"/>
      </w:pPr>
      <w:r>
        <w:rPr>
          <w:b/>
          <w:bCs/>
          <w:sz w:val="36"/>
          <w:szCs w:val="36"/>
        </w:rPr>
        <w:t xml:space="preserve">Grupo Industrial Promesa, S.A. de C.V.</w:t>
      </w:r>
    </w:p>
    <w:p>
      <w:pPr>
        <w:spacing w:after="60"/>
      </w:pPr>
      <w:r>
        <w:rPr>
          <w:color w:val="555555"/>
          <w:sz w:val="22"/>
          <w:szCs w:val="22"/>
        </w:rPr>
        <w:t xml:space="preserve">RFC GIP080314ABC  ·  Ramo Daños</w:t>
      </w:r>
    </w:p>
    <w:p>
      <w:pPr>
        <w:spacing w:after="600"/>
      </w:pPr>
      <w:r>
        <w:rPr>
          <w:color w:val="555555"/>
          <w:sz w:val="22"/>
          <w:szCs w:val="22"/>
        </w:rPr>
        <w:t xml:space="preserve">Vigencia solicitada: 01/07/2026 al 30/06/2027</w:t>
      </w:r>
    </w:p>
    <w:p>
      <w:pPr>
        <w:spacing w:after="80" w:before="1200"/>
      </w:pPr>
      <w:r>
        <w:rPr>
          <w:sz w:val="20"/>
          <w:szCs w:val="20"/>
        </w:rPr>
        <w:t xml:space="preserve">Preparado por: Andrea Martínez · KAM · División Protección</w:t>
      </w:r>
    </w:p>
    <w:p>
      <w:pPr>
        <w:spacing w:after="80"/>
      </w:pPr>
      <w:r>
        <w:rPr>
          <w:color w:val="555555"/>
          <w:sz w:val="20"/>
          <w:szCs w:val="20"/>
        </w:rPr>
        <w:t xml:space="preserve">Fecha de generación: 30/08/2026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Versión 1</w:t>
      </w:r>
    </w:p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1. INFORMACIÓN GENERAL DEL RIESGO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1.1  Razón social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Grupo Industrial Promesa, S.A. de C.V.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1.2  RFC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GIP080314ABC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1.3  Giro / actividad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Manufactura de autopartes — industria automotriz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1.4  Domicilio fiscal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Av. Industrias 850, Cuautitlán Izcalli, Edo. Mex. CP 54730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1.5  Ubicaciones a asegurar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3 plantas: Cuautitlán Izcalli, Querétaro, San Luis Potosí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1.6  Empleados aproximados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450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1.7  Facturación anual reportada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$1,840,000,000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1.8  Vigencia solicitada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12 meses · 01/07/26 al 30/06/27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1.9  Moneda solicitada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MXN + USD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1.10  Límite territorial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República Mexicana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2. INCENDIO · EDIFICIO Y CONTENIDOS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2.1  Valor asegurado edificio — Cuautitlán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$805,000,000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2.2  Valor asegurado edificio — Querétaro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$410,000,000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2.3  Valor asegurado edificio — SLP (obra en proceso)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$238,000,000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2.4  Valor asegurado contenidos (suma 3 plantas)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$1,580,000,000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2.5  Deducible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1% del valor del siniestro · mínimo $50,000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2.6  Coaseguro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10%</w:t>
            </w:r>
          </w:p>
        </w:tc>
      </w:tr>
    </w:tbl>
    <w:p>
      <w:pPr>
        <w:spacing w:after="80" w:before="240"/>
      </w:pPr>
      <w:r>
        <w:rPr>
          <w:b/>
          <w:bCs/>
          <w:caps/>
          <w:color w:val="1FA9DE"/>
          <w:sz w:val="18"/>
          <w:szCs w:val="18"/>
        </w:rPr>
        <w:t xml:space="preserve">Notas del agente</w:t>
      </w:r>
    </w:p>
    <w:p>
      <w:pPr>
        <w:spacing w:after="60"/>
      </w:pPr>
      <w:r>
        <w:rPr>
          <w:color w:val="374151"/>
          <w:sz w:val="20"/>
          <w:szCs w:val="20"/>
        </w:rPr>
        <w:t xml:space="preserve">• Política Inter: coaseguro 10% estándar para riesgos industriales &gt; $1,000 MM.</w:t>
      </w:r>
    </w:p>
    <w:p>
      <w:pPr>
        <w:spacing w:after="60"/>
      </w:pPr>
      <w:r>
        <w:rPr>
          <w:color w:val="374151"/>
          <w:sz w:val="20"/>
          <w:szCs w:val="20"/>
        </w:rPr>
        <w:t xml:space="preserve">• Planta SLP en construcción declarada explícitamente como obra en proceso.</w:t>
      </w:r>
    </w:p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3. PÉRDIDAS CONSECUENCIALES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3.1  Límite de indemnización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$280,000,000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3.2  Período de indemnización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12 meses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3.3  Deducible temporal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72 horas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3.4  Alcance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Lucro cesante + gastos extraordinarios</w:t>
            </w:r>
          </w:p>
        </w:tc>
      </w:tr>
    </w:tbl>
    <w:p>
      <w:pPr>
        <w:spacing w:after="80" w:before="240"/>
      </w:pPr>
      <w:r>
        <w:rPr>
          <w:b/>
          <w:bCs/>
          <w:caps/>
          <w:color w:val="1FA9DE"/>
          <w:sz w:val="18"/>
          <w:szCs w:val="18"/>
        </w:rPr>
        <w:t xml:space="preserve">Notas del agente</w:t>
      </w:r>
    </w:p>
    <w:p>
      <w:pPr>
        <w:spacing w:after="60"/>
      </w:pPr>
      <w:r>
        <w:rPr>
          <w:color w:val="374151"/>
          <w:sz w:val="20"/>
          <w:szCs w:val="20"/>
        </w:rPr>
        <w:t xml:space="preserve">• Cliente declaró pérdidas consecuenciales como prioridad — límite calculado en función del 15% de la facturación anual.</w:t>
      </w:r>
    </w:p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4. RESPONSABILIDAD CIVIL GENERAL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4.1  Límite combinado por evento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$50,000,000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4.2  Límite agregado anual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$100,000,000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4.3  Sublímite RC Productos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$25,000,000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4.4  Sublímite RC Cruzada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$10,000,000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4.5  Deducible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$50,000 MXN por siniestro</w:t>
            </w:r>
          </w:p>
        </w:tc>
      </w:tr>
    </w:tbl>
    <w:p>
      <w:pPr>
        <w:spacing w:after="80" w:before="240"/>
      </w:pPr>
      <w:r>
        <w:rPr>
          <w:b/>
          <w:bCs/>
          <w:caps/>
          <w:color w:val="1FA9DE"/>
          <w:sz w:val="18"/>
          <w:szCs w:val="18"/>
        </w:rPr>
        <w:t xml:space="preserve">Notas del agente</w:t>
      </w:r>
    </w:p>
    <w:p>
      <w:pPr>
        <w:spacing w:after="60"/>
      </w:pPr>
      <w:r>
        <w:rPr>
          <w:color w:val="374151"/>
          <w:sz w:val="20"/>
          <w:szCs w:val="20"/>
        </w:rPr>
        <w:t xml:space="preserve">• Sublímite de RC General quedó en default $50M — confirma si aplica para este cliente.</w:t>
      </w:r>
    </w:p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5. ROBO CON VIOLENCIA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5.1  Valor asegurado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$45,000,000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5.2  Deducible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10% del siniestro · mínimo $30,000 MXN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6. DINERO Y VALORES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6.1  Tránsito caja a banco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$2,500,000 MXN por evento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6.2  En caja fuerte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$1,500,000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6.3  Deducible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$10,000 MXN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7. CRISTALES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7.1  Valor asegurado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$3,200,000 MXN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8. ANUNCIOS LUMINOSOS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8.1  Valor asegurado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$850,000 MXN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9. EQUIPO ELECTRÓNICO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9.1  Valor asegurado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$28,500,000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9.2  Deducible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5% del siniestro · mínimo $20,000 MXN</w:t>
            </w:r>
          </w:p>
        </w:tc>
      </w:tr>
    </w:tbl>
    <w:p>
      <w:r>
        <w:br w:type="page"/>
      </w:r>
    </w:p>
    <w:p>
      <w:pPr>
        <w:pStyle w:val="Heading1"/>
        <w:spacing w:after="120" w:before="200"/>
      </w:pPr>
      <w:r>
        <w:rPr>
          <w:b/>
          <w:bCs/>
          <w:color w:val="0F2A4A"/>
          <w:sz w:val="26"/>
          <w:szCs w:val="26"/>
        </w:rPr>
        <w:t xml:space="preserve">10. CALDERAS Y ROTURA DE MAQUINARIA</w:t>
      </w:r>
    </w:p>
    <w:tbl>
      <w:tblPr>
        <w:tblW w:type="pct" w:w="100%"/>
        <w:tblBorders>
          <w:top w:val="single" w:color="888888" w:sz="6"/>
          <w:left w:val="single" w:color="888888" w:sz="6"/>
          <w:bottom w:val="single" w:color="888888" w:sz="6"/>
          <w:right w:val="single" w:color="888888" w:sz="6"/>
          <w:insideH w:val="single" w:color="888888" w:sz="4"/>
          <w:insideV w:val="single" w:color="888888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Concepto</w:t>
            </w:r>
          </w:p>
        </w:tc>
        <w:tc>
          <w:tcPr>
            <w:tcW w:type="pct" w:w="58%"/>
            <w:shd w:fill="F1F5F9"/>
          </w:tcPr>
          <w:p>
            <w:r>
              <w:rPr>
                <w:b/>
                <w:bCs/>
                <w:color w:val="0F2A4A"/>
                <w:sz w:val="20"/>
                <w:szCs w:val="20"/>
              </w:rPr>
              <w:t xml:space="preserve">Valor declarado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10.1  Calderas declaradas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4 unidades · valor conjunto $18,000,000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10.2  Rotura de maquinaria — valor asegurado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$185,000,000 MXN</w:t>
            </w:r>
          </w:p>
        </w:tc>
      </w:tr>
      <w:tr>
        <w:tc>
          <w:tcPr>
            <w:shd w:fill="FAFAFA"/>
          </w:tcPr>
          <w:p>
            <w:r>
              <w:rPr>
                <w:color w:val="111827"/>
                <w:sz w:val="20"/>
                <w:szCs w:val="20"/>
              </w:rPr>
              <w:t xml:space="preserve">10.3  Deducible</w:t>
            </w:r>
          </w:p>
        </w:tc>
        <w:tc>
          <w:p>
            <w:r>
              <w:rPr>
                <w:color w:val="0F172A"/>
                <w:sz w:val="22"/>
                <w:szCs w:val="22"/>
              </w:rPr>
              <w:t xml:space="preserve">5% del siniestro · mínimo $50,000 MXN</w:t>
            </w:r>
          </w:p>
        </w:tc>
      </w:tr>
    </w:tbl>
    <w:p>
      <w:pPr>
        <w:spacing w:after="80" w:before="240"/>
      </w:pPr>
      <w:r>
        <w:rPr>
          <w:b/>
          <w:bCs/>
          <w:caps/>
          <w:color w:val="1FA9DE"/>
          <w:sz w:val="18"/>
          <w:szCs w:val="18"/>
        </w:rPr>
        <w:t xml:space="preserve">Notas del agente</w:t>
      </w:r>
    </w:p>
    <w:p>
      <w:pPr>
        <w:spacing w:after="60"/>
      </w:pPr>
      <w:r>
        <w:rPr>
          <w:color w:val="374151"/>
          <w:sz w:val="20"/>
          <w:szCs w:val="20"/>
        </w:rPr>
        <w:t xml:space="preserve">• Para Calderas: 4 unidades identificadas en inventario, deducible default 5% según política Inter.</w:t>
      </w:r>
    </w:p>
    <w:p>
      <w:pPr>
        <w:spacing w:after="60"/>
      </w:pPr>
      <w:r>
        <w:rPr>
          <w:color w:val="374151"/>
          <w:sz w:val="20"/>
          <w:szCs w:val="20"/>
        </w:rPr>
        <w:t xml:space="preserve">• Considera agregar sublímite específico para Rotura de Maquinaria del torno CNC (valor individual $4.2M).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6"/>
        <w:szCs w:val="16"/>
      </w:rPr>
      <w:t xml:space="preserve">Slip_GIP_Empresarial_v1.docx  ·  Interprotección · GIP Empresarial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cs="Cambria" w:eastAsia="Cambria" w:hAnsi="Cambr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Slip_GIP_Empresarial_v1.docx</dc:title>
  <dc:creator>Primia · Interprotección</dc:creator>
  <dc:description>Slip de Riesgo Empresarial — Grupo Industrial Promesa, S.A. de C.V.</dc:description>
  <cp:lastModifiedBy>Un-named</cp:lastModifiedBy>
  <cp:revision>1</cp:revision>
  <dcterms:created xsi:type="dcterms:W3CDTF">2026-08-30T11:48:04.649Z</dcterms:created>
  <dcterms:modified xsi:type="dcterms:W3CDTF">2026-08-30T11:48:04.649Z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